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b w:val="1"/>
          <w:sz w:val="34"/>
          <w:szCs w:val="34"/>
        </w:rPr>
      </w:pPr>
      <w:bookmarkStart w:colFirst="0" w:colLast="0" w:name="_heading=h.shzxuengk8z4"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4"/>
          <w:szCs w:val="34"/>
          <w:rtl w:val="0"/>
        </w:rPr>
        <w:t xml:space="preserve">Subsecretaría de Emergencias.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
                <a:graphic>
                  <a:graphicData uri="http://schemas.microsoft.com/office/word/2010/wordprocessingGroup">
                    <wpg:wgp>
                      <wpg:cNvGrpSpPr/>
                      <wpg:grpSpPr>
                        <a:xfrm>
                          <a:off x="2403075" y="3499325"/>
                          <a:ext cx="5885815" cy="561340"/>
                          <a:chOff x="2403075" y="3499325"/>
                          <a:chExt cx="5885825" cy="561350"/>
                        </a:xfrm>
                      </wpg:grpSpPr>
                      <wpg:grpSp>
                        <wpg:cNvGrpSpPr/>
                        <wpg:grpSpPr>
                          <a:xfrm>
                            <a:off x="2403093" y="3499330"/>
                            <a:ext cx="5885815" cy="561340"/>
                            <a:chOff x="2311653" y="3594580"/>
                            <a:chExt cx="6068695" cy="410959"/>
                          </a:xfrm>
                        </wpg:grpSpPr>
                        <wps:wsp>
                          <wps:cNvSpPr/>
                          <wps:cNvPr id="3" name="Shape 3"/>
                          <wps:spPr>
                            <a:xfrm>
                              <a:off x="2311653" y="3594580"/>
                              <a:ext cx="6068675" cy="41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10959"/>
                              <a:chOff x="0" y="0"/>
                              <a:chExt cx="6068695" cy="410959"/>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80625" y="82862"/>
                                <a:ext cx="5988051" cy="328097"/>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Taller de evaluación de daños y análisis de necesidades (EDAN).</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6134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Esta iniciativa de la Dirección Provincial de Defensa Civil busca estandarizar la evaluación de los efectos de eventos adversos mediante la formación de un grupo evaluador que utilice planillas estandarizadas adaptadas a escenarios locales, con el fin de lograr una respuesta rápida y eficiente, facilitando la toma de decisiones de las autoridades a cargo del evento y el envío inmediato de la asistencia necesaria.</w:t>
      </w:r>
    </w:p>
    <w:p w:rsidR="00000000" w:rsidDel="00000000" w:rsidP="00000000" w:rsidRDefault="00000000" w:rsidRPr="00000000" w14:paraId="00000005">
      <w:pPr>
        <w:pStyle w:val="Heading1"/>
        <w:spacing w:line="360" w:lineRule="auto"/>
        <w:ind w:lef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tabs>
          <w:tab w:val="left" w:leader="none" w:pos="426"/>
        </w:tabs>
        <w:spacing w:line="360" w:lineRule="auto"/>
        <w:jc w:val="both"/>
        <w:rPr>
          <w:rFonts w:ascii="Arial" w:cs="Arial" w:eastAsia="Arial" w:hAnsi="Arial"/>
        </w:rPr>
      </w:pPr>
      <w:r w:rsidDel="00000000" w:rsidR="00000000" w:rsidRPr="00000000">
        <w:rPr>
          <w:rFonts w:ascii="Arial" w:cs="Arial" w:eastAsia="Arial" w:hAnsi="Arial"/>
          <w:rtl w:val="0"/>
        </w:rPr>
        <w:t xml:space="preserve">Personal de las instituciones que forman el sistema provincial de emergencias local (bomberos, policía, salud, asistencia social, inspectores municipales y ONG vinculadas).</w:t>
      </w:r>
    </w:p>
    <w:p w:rsidR="00000000" w:rsidDel="00000000" w:rsidP="00000000" w:rsidRDefault="00000000" w:rsidRPr="00000000" w14:paraId="00000008">
      <w:pPr>
        <w:tabs>
          <w:tab w:val="left" w:leader="none" w:pos="7"/>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presencial y/o virtual</w:t>
      </w:r>
      <w:r w:rsidDel="00000000" w:rsidR="00000000" w:rsidRPr="00000000">
        <w:rPr>
          <w:rFonts w:ascii="Arial" w:cs="Arial" w:eastAsia="Arial" w:hAnsi="Arial"/>
          <w:rtl w:val="0"/>
        </w:rPr>
        <w:t xml:space="preserve">.</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3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Ediciones</w:t>
      </w:r>
      <w:r w:rsidDel="00000000" w:rsidR="00000000" w:rsidRPr="00000000">
        <w:rPr>
          <w:rFonts w:ascii="Arial" w:cs="Arial" w:eastAsia="Arial" w:hAnsi="Arial"/>
          <w:rtl w:val="0"/>
        </w:rPr>
        <w:t xml:space="preserve">: 2 ediciones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E">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fechas tentativas de inicio</w:t>
      </w:r>
      <w:r w:rsidDel="00000000" w:rsidR="00000000" w:rsidRPr="00000000">
        <w:rPr>
          <w:rFonts w:ascii="Arial" w:cs="Arial" w:eastAsia="Arial" w:hAnsi="Arial"/>
          <w:rtl w:val="0"/>
        </w:rPr>
        <w:t xml:space="preserve"> junio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septiembre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participación máxima presencial de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asistentes, dependiendo de las dimensiones del lugar. Participación máxima virtual de </w:t>
      </w:r>
      <w:r w:rsidDel="00000000" w:rsidR="00000000" w:rsidRPr="00000000">
        <w:rPr>
          <w:rFonts w:ascii="Arial" w:cs="Arial" w:eastAsia="Arial" w:hAnsi="Arial"/>
          <w:rtl w:val="0"/>
        </w:rPr>
        <w:t xml:space="preserve">100</w:t>
      </w:r>
      <w:r w:rsidDel="00000000" w:rsidR="00000000" w:rsidRPr="00000000">
        <w:rPr>
          <w:rFonts w:ascii="Arial" w:cs="Arial" w:eastAsia="Arial" w:hAnsi="Arial"/>
          <w:color w:val="000000"/>
          <w:rtl w:val="0"/>
        </w:rPr>
        <w:t xml:space="preserve"> asistentes.</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 451-2002 int. 101/102.</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5e5e5e"/>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cursosfortalecimiento.dgdc@gmail.com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pStyle w:val="Heading1"/>
        <w:spacing w:line="360" w:lineRule="auto"/>
        <w:ind w:firstLine="143"/>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NormalWeb">
    <w:name w:val="Normal (Web)"/>
    <w:basedOn w:val="Normal"/>
    <w:uiPriority w:val="99"/>
    <w:unhideWhenUsed w:val="1"/>
    <w:rsid w:val="00A65761"/>
    <w:pPr>
      <w:widowControl w:val="1"/>
      <w:spacing w:after="100" w:afterAutospacing="1" w:before="100" w:beforeAutospacing="1"/>
    </w:pPr>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fortalecimiento.dg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8Ffss4asCud0aa/mndEaDX1bA==">CgMxLjAyDmguc2h6eHVlbmdrOHo0OAByITFYajVRbW9TSmU3VmFobFdibk9jbEZhME8xTnFqc2lfaA==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2025-05-06T17:07:00Z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